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529" w:rsidRPr="00C32FBF" w:rsidRDefault="00F20B77" w:rsidP="00910078">
      <w:pPr>
        <w:rPr>
          <w:b/>
          <w:sz w:val="20"/>
          <w:szCs w:val="20"/>
        </w:rPr>
      </w:pPr>
      <w:r w:rsidRPr="00C32FBF">
        <w:rPr>
          <w:b/>
          <w:sz w:val="20"/>
          <w:szCs w:val="20"/>
        </w:rPr>
        <w:t xml:space="preserve">Procedure for håndtering af </w:t>
      </w:r>
      <w:r w:rsidR="000C0B06">
        <w:rPr>
          <w:b/>
          <w:sz w:val="20"/>
          <w:szCs w:val="20"/>
        </w:rPr>
        <w:t>krænkende handlinger</w:t>
      </w:r>
      <w:bookmarkStart w:id="0" w:name="_GoBack"/>
      <w:bookmarkEnd w:id="0"/>
      <w:r w:rsidRPr="00C32FBF">
        <w:rPr>
          <w:b/>
          <w:sz w:val="20"/>
          <w:szCs w:val="20"/>
        </w:rPr>
        <w:t xml:space="preserve"> på</w:t>
      </w:r>
      <w:r w:rsidR="00572323" w:rsidRPr="00C32FBF">
        <w:rPr>
          <w:b/>
          <w:sz w:val="20"/>
          <w:szCs w:val="20"/>
        </w:rPr>
        <w:t>/i</w:t>
      </w:r>
      <w:r w:rsidRPr="00C32FBF">
        <w:rPr>
          <w:b/>
          <w:sz w:val="20"/>
          <w:szCs w:val="20"/>
        </w:rPr>
        <w:t xml:space="preserve"> XX</w:t>
      </w:r>
    </w:p>
    <w:p w:rsidR="00F20B77" w:rsidRPr="00C32FBF" w:rsidRDefault="000A1EB5" w:rsidP="00572323">
      <w:pPr>
        <w:spacing w:line="240" w:lineRule="auto"/>
        <w:rPr>
          <w:sz w:val="20"/>
          <w:szCs w:val="20"/>
        </w:rPr>
      </w:pPr>
      <w:r w:rsidRPr="00C32FBF">
        <w:rPr>
          <w:sz w:val="20"/>
          <w:szCs w:val="20"/>
        </w:rPr>
        <w:t xml:space="preserve">I Fredensborg Kommune skal der være et godt psykisk arbejdsmiljø og ingen skal udsættes for </w:t>
      </w:r>
      <w:r w:rsidR="00CB11C8" w:rsidRPr="00C32FBF">
        <w:rPr>
          <w:sz w:val="20"/>
          <w:szCs w:val="20"/>
        </w:rPr>
        <w:t xml:space="preserve">krænkende handlinger i forbindelse med arbejdet. </w:t>
      </w:r>
      <w:r w:rsidRPr="00C32FBF">
        <w:rPr>
          <w:sz w:val="20"/>
          <w:szCs w:val="20"/>
        </w:rPr>
        <w:t>Kommunen har nul-tolerance overfo</w:t>
      </w:r>
      <w:r w:rsidR="005C7C65" w:rsidRPr="00C32FBF">
        <w:rPr>
          <w:sz w:val="20"/>
          <w:szCs w:val="20"/>
        </w:rPr>
        <w:t>r</w:t>
      </w:r>
      <w:r w:rsidR="00CB11C8" w:rsidRPr="00C32FBF">
        <w:rPr>
          <w:sz w:val="20"/>
          <w:szCs w:val="20"/>
        </w:rPr>
        <w:t xml:space="preserve"> krænkende handlinger,</w:t>
      </w:r>
      <w:r w:rsidR="005C7C65" w:rsidRPr="00C32FBF">
        <w:rPr>
          <w:sz w:val="20"/>
          <w:szCs w:val="20"/>
        </w:rPr>
        <w:t xml:space="preserve"> </w:t>
      </w:r>
      <w:r w:rsidR="00CB11C8" w:rsidRPr="00C32FBF">
        <w:rPr>
          <w:sz w:val="20"/>
          <w:szCs w:val="20"/>
        </w:rPr>
        <w:t>herunder mobning og seksuel chikane og uønsket seksuel opmærksomhed mellem kommunens ansatte.</w:t>
      </w:r>
    </w:p>
    <w:p w:rsidR="000A1EB5" w:rsidRPr="00C32FBF" w:rsidRDefault="000A1EB5" w:rsidP="00572323">
      <w:pPr>
        <w:spacing w:line="240" w:lineRule="auto"/>
        <w:rPr>
          <w:sz w:val="20"/>
          <w:szCs w:val="20"/>
        </w:rPr>
      </w:pPr>
    </w:p>
    <w:p w:rsidR="00F20B77" w:rsidRPr="00C32FBF" w:rsidRDefault="000A1EB5" w:rsidP="00572323">
      <w:pPr>
        <w:spacing w:line="240" w:lineRule="auto"/>
        <w:rPr>
          <w:sz w:val="20"/>
          <w:szCs w:val="20"/>
        </w:rPr>
      </w:pPr>
      <w:r w:rsidRPr="00C32FBF">
        <w:rPr>
          <w:sz w:val="20"/>
          <w:szCs w:val="20"/>
        </w:rPr>
        <w:t>Ledelsen og de ansatte har et fælles ansvar i forhold til</w:t>
      </w:r>
      <w:r w:rsidR="001F5361" w:rsidRPr="00C32FBF">
        <w:rPr>
          <w:sz w:val="20"/>
          <w:szCs w:val="20"/>
        </w:rPr>
        <w:t xml:space="preserve"> at</w:t>
      </w:r>
      <w:r w:rsidRPr="00C32FBF">
        <w:rPr>
          <w:sz w:val="20"/>
          <w:szCs w:val="20"/>
        </w:rPr>
        <w:t xml:space="preserve"> </w:t>
      </w:r>
      <w:r w:rsidR="001F5361" w:rsidRPr="00C32FBF">
        <w:rPr>
          <w:sz w:val="20"/>
          <w:szCs w:val="20"/>
        </w:rPr>
        <w:t xml:space="preserve">forebygge og håndtere </w:t>
      </w:r>
      <w:r w:rsidR="009679EC">
        <w:rPr>
          <w:sz w:val="20"/>
          <w:szCs w:val="20"/>
        </w:rPr>
        <w:t xml:space="preserve">krænkende handlinger. </w:t>
      </w:r>
      <w:r w:rsidR="001F5361" w:rsidRPr="00C32FBF">
        <w:rPr>
          <w:sz w:val="20"/>
          <w:szCs w:val="20"/>
        </w:rPr>
        <w:t>En del af ansvaret består bl.a. i at gøre opmærksom på adfærd der har karakter af mobning eller seksuel chikane.</w:t>
      </w:r>
      <w:r w:rsidR="00572323" w:rsidRPr="00C32FBF">
        <w:rPr>
          <w:sz w:val="20"/>
          <w:szCs w:val="20"/>
        </w:rPr>
        <w:t xml:space="preserve"> Nedenfor kan du se h</w:t>
      </w:r>
      <w:r w:rsidR="009679EC">
        <w:rPr>
          <w:sz w:val="20"/>
          <w:szCs w:val="20"/>
        </w:rPr>
        <w:t>vornår der er tale om mobning,</w:t>
      </w:r>
      <w:r w:rsidR="00572323" w:rsidRPr="00C32FBF">
        <w:rPr>
          <w:sz w:val="20"/>
          <w:szCs w:val="20"/>
        </w:rPr>
        <w:t xml:space="preserve"> seksuel chikane</w:t>
      </w:r>
      <w:r w:rsidR="009679EC">
        <w:rPr>
          <w:sz w:val="20"/>
          <w:szCs w:val="20"/>
        </w:rPr>
        <w:t xml:space="preserve"> eller uønsket seksuel opmærksomhed</w:t>
      </w:r>
      <w:r w:rsidR="00572323" w:rsidRPr="00C32FBF">
        <w:rPr>
          <w:sz w:val="20"/>
          <w:szCs w:val="20"/>
        </w:rPr>
        <w:t xml:space="preserve">. </w:t>
      </w:r>
    </w:p>
    <w:p w:rsidR="00B34529" w:rsidRDefault="00497C43" w:rsidP="00910078">
      <w:r>
        <w:rPr>
          <w:noProof/>
          <w:lang w:eastAsia="da-DK"/>
        </w:rPr>
        <mc:AlternateContent>
          <mc:Choice Requires="wps">
            <w:drawing>
              <wp:anchor distT="0" distB="0" distL="114300" distR="114300" simplePos="0" relativeHeight="251659264" behindDoc="0" locked="0" layoutInCell="1" allowOverlap="1" wp14:anchorId="17BBF532" wp14:editId="20BA46F3">
                <wp:simplePos x="0" y="0"/>
                <wp:positionH relativeFrom="column">
                  <wp:posOffset>0</wp:posOffset>
                </wp:positionH>
                <wp:positionV relativeFrom="paragraph">
                  <wp:posOffset>84455</wp:posOffset>
                </wp:positionV>
                <wp:extent cx="6515100" cy="4791075"/>
                <wp:effectExtent l="19050" t="19050" r="19050" b="28575"/>
                <wp:wrapNone/>
                <wp:docPr id="1" name="Rektangel 1"/>
                <wp:cNvGraphicFramePr/>
                <a:graphic xmlns:a="http://schemas.openxmlformats.org/drawingml/2006/main">
                  <a:graphicData uri="http://schemas.microsoft.com/office/word/2010/wordprocessingShape">
                    <wps:wsp>
                      <wps:cNvSpPr/>
                      <wps:spPr>
                        <a:xfrm>
                          <a:off x="0" y="0"/>
                          <a:ext cx="6515100" cy="4791075"/>
                        </a:xfrm>
                        <a:prstGeom prst="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497C43" w:rsidRPr="0029213F" w:rsidRDefault="00497C43" w:rsidP="00497C43">
                            <w:pPr>
                              <w:spacing w:line="276" w:lineRule="auto"/>
                              <w:rPr>
                                <w:rFonts w:eastAsia="Times New Roman" w:cs="Times New Roman"/>
                                <w:b/>
                                <w:iCs/>
                                <w:color w:val="000000" w:themeColor="text1"/>
                                <w:u w:val="single"/>
                                <w:lang w:eastAsia="da-DK"/>
                              </w:rPr>
                            </w:pPr>
                            <w:r w:rsidRPr="0029213F">
                              <w:rPr>
                                <w:rFonts w:eastAsia="Times New Roman" w:cs="Times New Roman"/>
                                <w:b/>
                                <w:iCs/>
                                <w:color w:val="000000" w:themeColor="text1"/>
                                <w:u w:val="single"/>
                                <w:lang w:eastAsia="da-DK"/>
                              </w:rPr>
                              <w:t>Mobning</w:t>
                            </w:r>
                          </w:p>
                          <w:p w:rsidR="00497C43" w:rsidRPr="0029213F" w:rsidRDefault="00497C43" w:rsidP="00497C43">
                            <w:pPr>
                              <w:spacing w:line="276" w:lineRule="auto"/>
                              <w:rPr>
                                <w:rFonts w:eastAsia="Times New Roman" w:cs="Times New Roman"/>
                                <w:iCs/>
                                <w:color w:val="000000" w:themeColor="text1"/>
                                <w:lang w:eastAsia="da-DK"/>
                              </w:rPr>
                            </w:pPr>
                            <w:r w:rsidRPr="0029213F">
                              <w:rPr>
                                <w:rFonts w:eastAsia="Times New Roman" w:cs="Times New Roman"/>
                                <w:iCs/>
                                <w:color w:val="000000" w:themeColor="text1"/>
                                <w:lang w:eastAsia="da-DK"/>
                              </w:rPr>
                              <w:t>Der er tale om mobning, når en eller flere personer regelmæssigt og over længere tid - eller gentagne gange på grov vis - udsætter en eller flere andre personer for krænkende handlinger, som vedkommende opfatter som sårende eller nedværdigende. De krænkende handlinger bliver dog først til mobning, når de personer, som de rettes mod, ikke er i stand til at forsvare sig effektivt imod dem. Drillerier, der af begge parter opfattes som godsindede eller enkeltstående konflikter, er ikke mobning.</w:t>
                            </w:r>
                          </w:p>
                          <w:p w:rsidR="00497C43" w:rsidRPr="0029213F" w:rsidRDefault="00497C43" w:rsidP="00497C43">
                            <w:pPr>
                              <w:spacing w:line="276" w:lineRule="auto"/>
                              <w:rPr>
                                <w:rFonts w:eastAsia="Times New Roman" w:cs="Times New Roman"/>
                                <w:iCs/>
                                <w:color w:val="000000" w:themeColor="text1"/>
                                <w:lang w:eastAsia="da-DK"/>
                              </w:rPr>
                            </w:pPr>
                          </w:p>
                          <w:p w:rsidR="00497C43" w:rsidRPr="0029213F" w:rsidRDefault="00497C43" w:rsidP="00497C43">
                            <w:pPr>
                              <w:spacing w:line="276" w:lineRule="auto"/>
                              <w:rPr>
                                <w:rFonts w:eastAsia="Times New Roman" w:cs="Times New Roman"/>
                                <w:iCs/>
                                <w:color w:val="000000" w:themeColor="text1"/>
                                <w:lang w:eastAsia="da-DK"/>
                              </w:rPr>
                            </w:pPr>
                            <w:r w:rsidRPr="0029213F">
                              <w:rPr>
                                <w:rFonts w:eastAsia="Times New Roman" w:cs="Times New Roman"/>
                                <w:iCs/>
                                <w:color w:val="000000" w:themeColor="text1"/>
                                <w:lang w:eastAsia="da-DK"/>
                              </w:rPr>
                              <w:t>Ofrenes oplevelse af de krænkende handlinger er et centralt aspekt i mobning. Det er derfor uden betydning, om handlingerne er udtryk for ubetænksomhed eller et decideret ønske om at krænke offeret. Det betyder dog noget for ofrenes oplevelse af mobningen, om der er tale om ond vilje eller ej.</w:t>
                            </w:r>
                          </w:p>
                          <w:p w:rsidR="00497C43" w:rsidRPr="0029213F" w:rsidRDefault="00497C43" w:rsidP="00497C43">
                            <w:pPr>
                              <w:spacing w:line="276" w:lineRule="auto"/>
                              <w:rPr>
                                <w:rFonts w:eastAsia="Times New Roman" w:cs="Times New Roman"/>
                                <w:iCs/>
                                <w:color w:val="000000" w:themeColor="text1"/>
                                <w:lang w:eastAsia="da-DK"/>
                              </w:rPr>
                            </w:pPr>
                          </w:p>
                          <w:p w:rsidR="00497C43" w:rsidRPr="0029213F" w:rsidRDefault="00497C43" w:rsidP="00497C43">
                            <w:pPr>
                              <w:spacing w:line="276" w:lineRule="auto"/>
                              <w:rPr>
                                <w:rFonts w:eastAsia="Times New Roman" w:cs="Times New Roman"/>
                                <w:iCs/>
                                <w:color w:val="000000" w:themeColor="text1"/>
                                <w:lang w:eastAsia="da-DK"/>
                              </w:rPr>
                            </w:pPr>
                            <w:r w:rsidRPr="0029213F">
                              <w:rPr>
                                <w:rFonts w:eastAsia="Times New Roman" w:cs="Times New Roman"/>
                                <w:iCs/>
                                <w:color w:val="000000" w:themeColor="text1"/>
                                <w:lang w:eastAsia="da-DK"/>
                              </w:rPr>
                              <w:t xml:space="preserve">Mobning kan udøves af både kolleger og ledere. Selv om mobning mellem kolleger er mere udbredt, opleves mobning udøvet af en leder tilsyneladende som ekstra belastende. Det skyldes den magt, der kan lægges bag krænkelsen, og at det ikke er muligt at få lederens opbakning og hjælp. Også underordnedes mobning af ledere kan forekomme. </w:t>
                            </w:r>
                          </w:p>
                          <w:p w:rsidR="00497C43" w:rsidRPr="0029213F" w:rsidRDefault="00497C43" w:rsidP="00497C43">
                            <w:pPr>
                              <w:spacing w:line="276" w:lineRule="auto"/>
                              <w:rPr>
                                <w:color w:val="000000" w:themeColor="text1"/>
                              </w:rPr>
                            </w:pPr>
                          </w:p>
                          <w:p w:rsidR="00497C43" w:rsidRPr="0029213F" w:rsidRDefault="00497C43" w:rsidP="00497C43">
                            <w:pPr>
                              <w:spacing w:line="276" w:lineRule="auto"/>
                              <w:rPr>
                                <w:b/>
                                <w:iCs/>
                                <w:color w:val="000000" w:themeColor="text1"/>
                                <w:u w:val="single"/>
                              </w:rPr>
                            </w:pPr>
                            <w:r w:rsidRPr="0029213F">
                              <w:rPr>
                                <w:b/>
                                <w:iCs/>
                                <w:color w:val="000000" w:themeColor="text1"/>
                                <w:u w:val="single"/>
                              </w:rPr>
                              <w:t>Seksuel chikane</w:t>
                            </w:r>
                          </w:p>
                          <w:p w:rsidR="00497C43" w:rsidRDefault="00497C43" w:rsidP="00497C43">
                            <w:pPr>
                              <w:spacing w:line="276" w:lineRule="auto"/>
                              <w:rPr>
                                <w:iCs/>
                                <w:color w:val="000000" w:themeColor="text1"/>
                              </w:rPr>
                            </w:pPr>
                            <w:r w:rsidRPr="0029213F">
                              <w:rPr>
                                <w:iCs/>
                                <w:color w:val="000000" w:themeColor="text1"/>
                              </w:rPr>
                              <w:t>Seksuel chikane er en særlig form for mobning. Der er tale om seksuel chikane, når en eller flere personer regelmæssigt og over længere tid - eller gentagne gange på grov vis - udsætter en eller flere andre personer for uønskede handlinger af seksuel karakter, som vedkommende opfatter som krænkende. I de fleste tilfælde udøves seksuel chikane af mænd over for kvinder, men det er vigtigt at være opmærksom på, at mænd også kan udsættes for seksuel chikane.</w:t>
                            </w:r>
                          </w:p>
                          <w:p w:rsidR="00497C43" w:rsidRDefault="00497C43" w:rsidP="00497C43">
                            <w:pPr>
                              <w:spacing w:line="276" w:lineRule="auto"/>
                              <w:rPr>
                                <w:iCs/>
                                <w:color w:val="000000" w:themeColor="text1"/>
                              </w:rPr>
                            </w:pPr>
                          </w:p>
                          <w:p w:rsidR="00497C43" w:rsidRPr="009679EC" w:rsidRDefault="00497C43" w:rsidP="00497C43">
                            <w:pPr>
                              <w:spacing w:line="276" w:lineRule="auto"/>
                              <w:rPr>
                                <w:b/>
                                <w:iCs/>
                                <w:color w:val="000000" w:themeColor="text1"/>
                                <w:u w:val="single"/>
                              </w:rPr>
                            </w:pPr>
                            <w:r w:rsidRPr="009679EC">
                              <w:rPr>
                                <w:b/>
                                <w:iCs/>
                                <w:color w:val="000000" w:themeColor="text1"/>
                                <w:u w:val="single"/>
                              </w:rPr>
                              <w:t>Uønsket seksuel opmærksomhed</w:t>
                            </w:r>
                          </w:p>
                          <w:p w:rsidR="00497C43" w:rsidRPr="00C32FBF" w:rsidRDefault="00497C43" w:rsidP="00497C43">
                            <w:pPr>
                              <w:spacing w:line="276" w:lineRule="auto"/>
                              <w:rPr>
                                <w:iCs/>
                                <w:color w:val="000000" w:themeColor="text1"/>
                              </w:rPr>
                            </w:pPr>
                            <w:r w:rsidRPr="00C32FBF">
                              <w:rPr>
                                <w:iCs/>
                                <w:color w:val="000000" w:themeColor="text1"/>
                              </w:rPr>
                              <w:t>Krænkelser i form af uønsket seksuel opmærksomhed er enhver uønsket seksuel tilnærmelse eller adfærd, der krænker, ydmyger eller skræmmer en medarbejder eller den almindelige værdighed på arbejdspladsen. Uønsket seksuel opmærksomhed kan være i form af handlinger der ligner dem, der er beskrevet under seksuel chikane. Til forskel fra seksuel chikane kan krænkelser i form af uønsket seksuel opmærksomhed bestå af enkeltstående eller mindre grove handlinger.</w:t>
                            </w:r>
                          </w:p>
                          <w:p w:rsidR="00497C43" w:rsidRDefault="00497C43" w:rsidP="00497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BBF532" id="Rektangel 1" o:spid="_x0000_s1026" style="position:absolute;margin-left:0;margin-top:6.65pt;width:513pt;height:37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" fillcolor="white [3201]" strokecolor="#0070c0" strokeweight="2.25pt">
                <v:textbox>
                  <w:txbxContent>
                    <w:p w:rsidR="00497C43" w:rsidRPr="0029213F" w:rsidRDefault="00497C43" w:rsidP="00497C43">
                      <w:pPr>
                        <w:spacing w:line="276" w:lineRule="auto"/>
                        <w:rPr>
                          <w:rFonts w:eastAsia="Times New Roman" w:cs="Times New Roman"/>
                          <w:b/>
                          <w:iCs/>
                          <w:color w:val="000000" w:themeColor="text1"/>
                          <w:u w:val="single"/>
                          <w:lang w:eastAsia="da-DK"/>
                        </w:rPr>
                      </w:pPr>
                      <w:r w:rsidRPr="0029213F">
                        <w:rPr>
                          <w:rFonts w:eastAsia="Times New Roman" w:cs="Times New Roman"/>
                          <w:b/>
                          <w:iCs/>
                          <w:color w:val="000000" w:themeColor="text1"/>
                          <w:u w:val="single"/>
                          <w:lang w:eastAsia="da-DK"/>
                        </w:rPr>
                        <w:t>Mobning</w:t>
                      </w:r>
                    </w:p>
                    <w:p w:rsidR="00497C43" w:rsidRPr="0029213F" w:rsidRDefault="00497C43" w:rsidP="00497C43">
                      <w:pPr>
                        <w:spacing w:line="276" w:lineRule="auto"/>
                        <w:rPr>
                          <w:rFonts w:eastAsia="Times New Roman" w:cs="Times New Roman"/>
                          <w:iCs/>
                          <w:color w:val="000000" w:themeColor="text1"/>
                          <w:lang w:eastAsia="da-DK"/>
                        </w:rPr>
                      </w:pPr>
                      <w:r w:rsidRPr="0029213F">
                        <w:rPr>
                          <w:rFonts w:eastAsia="Times New Roman" w:cs="Times New Roman"/>
                          <w:iCs/>
                          <w:color w:val="000000" w:themeColor="text1"/>
                          <w:lang w:eastAsia="da-DK"/>
                        </w:rPr>
                        <w:t>Der er tale om mobning, når en eller flere personer regelmæssigt og over længere tid - eller gentagne gange på grov vis - udsætter en eller flere andre personer for krænkende handlinger, som vedkommende opfatter som sårende eller nedværdigende. De krænkende handlinger bliver dog først til mobning, når de personer, som de rettes mod, ikke er i stand til at forsvare sig effektivt imod dem. Drillerier, der af begge parter opfattes som godsindede eller enkeltstående konflikter, er ikke mobning.</w:t>
                      </w:r>
                    </w:p>
                    <w:p w:rsidR="00497C43" w:rsidRPr="0029213F" w:rsidRDefault="00497C43" w:rsidP="00497C43">
                      <w:pPr>
                        <w:spacing w:line="276" w:lineRule="auto"/>
                        <w:rPr>
                          <w:rFonts w:eastAsia="Times New Roman" w:cs="Times New Roman"/>
                          <w:iCs/>
                          <w:color w:val="000000" w:themeColor="text1"/>
                          <w:lang w:eastAsia="da-DK"/>
                        </w:rPr>
                      </w:pPr>
                    </w:p>
                    <w:p w:rsidR="00497C43" w:rsidRPr="0029213F" w:rsidRDefault="00497C43" w:rsidP="00497C43">
                      <w:pPr>
                        <w:spacing w:line="276" w:lineRule="auto"/>
                        <w:rPr>
                          <w:rFonts w:eastAsia="Times New Roman" w:cs="Times New Roman"/>
                          <w:iCs/>
                          <w:color w:val="000000" w:themeColor="text1"/>
                          <w:lang w:eastAsia="da-DK"/>
                        </w:rPr>
                      </w:pPr>
                      <w:r w:rsidRPr="0029213F">
                        <w:rPr>
                          <w:rFonts w:eastAsia="Times New Roman" w:cs="Times New Roman"/>
                          <w:iCs/>
                          <w:color w:val="000000" w:themeColor="text1"/>
                          <w:lang w:eastAsia="da-DK"/>
                        </w:rPr>
                        <w:t>Ofrenes oplevelse af de krænkende handlinger er et centralt aspekt i mobning. Det er derfor uden betydning, om handlingerne er udtryk for ubetænksomhed eller et decideret ønske om at krænke offeret. Det betyder dog noget for ofrenes oplevelse af mobningen, om der er tale om ond vilje eller ej.</w:t>
                      </w:r>
                    </w:p>
                    <w:p w:rsidR="00497C43" w:rsidRPr="0029213F" w:rsidRDefault="00497C43" w:rsidP="00497C43">
                      <w:pPr>
                        <w:spacing w:line="276" w:lineRule="auto"/>
                        <w:rPr>
                          <w:rFonts w:eastAsia="Times New Roman" w:cs="Times New Roman"/>
                          <w:iCs/>
                          <w:color w:val="000000" w:themeColor="text1"/>
                          <w:lang w:eastAsia="da-DK"/>
                        </w:rPr>
                      </w:pPr>
                    </w:p>
                    <w:p w:rsidR="00497C43" w:rsidRPr="0029213F" w:rsidRDefault="00497C43" w:rsidP="00497C43">
                      <w:pPr>
                        <w:spacing w:line="276" w:lineRule="auto"/>
                        <w:rPr>
                          <w:rFonts w:eastAsia="Times New Roman" w:cs="Times New Roman"/>
                          <w:iCs/>
                          <w:color w:val="000000" w:themeColor="text1"/>
                          <w:lang w:eastAsia="da-DK"/>
                        </w:rPr>
                      </w:pPr>
                      <w:r w:rsidRPr="0029213F">
                        <w:rPr>
                          <w:rFonts w:eastAsia="Times New Roman" w:cs="Times New Roman"/>
                          <w:iCs/>
                          <w:color w:val="000000" w:themeColor="text1"/>
                          <w:lang w:eastAsia="da-DK"/>
                        </w:rPr>
                        <w:t xml:space="preserve">Mobning kan udøves af både kolleger og ledere. Selv om mobning mellem kolleger er mere udbredt, opleves mobning udøvet af en leder tilsyneladende som ekstra belastende. Det skyldes den magt, der kan lægges bag krænkelsen, og at det ikke er muligt at få lederens opbakning og hjælp. Også underordnedes mobning af ledere kan forekomme. </w:t>
                      </w:r>
                    </w:p>
                    <w:p w:rsidR="00497C43" w:rsidRPr="0029213F" w:rsidRDefault="00497C43" w:rsidP="00497C43">
                      <w:pPr>
                        <w:spacing w:line="276" w:lineRule="auto"/>
                        <w:rPr>
                          <w:color w:val="000000" w:themeColor="text1"/>
                        </w:rPr>
                      </w:pPr>
                    </w:p>
                    <w:p w:rsidR="00497C43" w:rsidRPr="0029213F" w:rsidRDefault="00497C43" w:rsidP="00497C43">
                      <w:pPr>
                        <w:spacing w:line="276" w:lineRule="auto"/>
                        <w:rPr>
                          <w:b/>
                          <w:iCs/>
                          <w:color w:val="000000" w:themeColor="text1"/>
                          <w:u w:val="single"/>
                        </w:rPr>
                      </w:pPr>
                      <w:r w:rsidRPr="0029213F">
                        <w:rPr>
                          <w:b/>
                          <w:iCs/>
                          <w:color w:val="000000" w:themeColor="text1"/>
                          <w:u w:val="single"/>
                        </w:rPr>
                        <w:t>Seksuel chikane</w:t>
                      </w:r>
                    </w:p>
                    <w:p w:rsidR="00497C43" w:rsidRDefault="00497C43" w:rsidP="00497C43">
                      <w:pPr>
                        <w:spacing w:line="276" w:lineRule="auto"/>
                        <w:rPr>
                          <w:iCs/>
                          <w:color w:val="000000" w:themeColor="text1"/>
                        </w:rPr>
                      </w:pPr>
                      <w:r w:rsidRPr="0029213F">
                        <w:rPr>
                          <w:iCs/>
                          <w:color w:val="000000" w:themeColor="text1"/>
                        </w:rPr>
                        <w:t>Seksuel chikane er en særlig form for mobning. Der er tale om seksuel chikane, når en eller flere personer regelmæssigt og over længere tid - eller gentagne gange på grov vis - udsætter en eller flere andre personer for uønskede handlinger af seksuel karakter, som vedkommende opfatter som krænkende. I de fleste tilfælde udøves seksuel chikane af mænd over for kvinder, men det er vigtigt at være opmærksom på, at mænd også kan udsættes for seksuel chikane.</w:t>
                      </w:r>
                    </w:p>
                    <w:p w:rsidR="00497C43" w:rsidRDefault="00497C43" w:rsidP="00497C43">
                      <w:pPr>
                        <w:spacing w:line="276" w:lineRule="auto"/>
                        <w:rPr>
                          <w:iCs/>
                          <w:color w:val="000000" w:themeColor="text1"/>
                        </w:rPr>
                      </w:pPr>
                    </w:p>
                    <w:p w:rsidR="00497C43" w:rsidRPr="009679EC" w:rsidRDefault="00497C43" w:rsidP="00497C43">
                      <w:pPr>
                        <w:spacing w:line="276" w:lineRule="auto"/>
                        <w:rPr>
                          <w:b/>
                          <w:iCs/>
                          <w:color w:val="000000" w:themeColor="text1"/>
                          <w:u w:val="single"/>
                        </w:rPr>
                      </w:pPr>
                      <w:r w:rsidRPr="009679EC">
                        <w:rPr>
                          <w:b/>
                          <w:iCs/>
                          <w:color w:val="000000" w:themeColor="text1"/>
                          <w:u w:val="single"/>
                        </w:rPr>
                        <w:t>Uønsket seksuel opmærksomhed</w:t>
                      </w:r>
                    </w:p>
                    <w:p w:rsidR="00497C43" w:rsidRPr="00C32FBF" w:rsidRDefault="00497C43" w:rsidP="00497C43">
                      <w:pPr>
                        <w:spacing w:line="276" w:lineRule="auto"/>
                        <w:rPr>
                          <w:iCs/>
                          <w:color w:val="000000" w:themeColor="text1"/>
                        </w:rPr>
                      </w:pPr>
                      <w:r w:rsidRPr="00C32FBF">
                        <w:rPr>
                          <w:iCs/>
                          <w:color w:val="000000" w:themeColor="text1"/>
                        </w:rPr>
                        <w:t>Krænkelser i form af uønsket seksuel opmærksomhed er enhver uønsket seksuel tilnærmelse eller adfærd, der krænker, ydmyger eller skræmmer en medarbejder eller den almindelige værdighed på arbejdspladsen. Uønsket seksuel opmærksomhed kan være i form af handlinger der ligner dem, der er beskrevet under seksuel chikane. Til forskel fra seksuel chikane kan krænkelser i form af uønsket seksuel opmærksomhed bestå af enkeltstående eller mindre grove handlinger.</w:t>
                      </w:r>
                    </w:p>
                    <w:p w:rsidR="00497C43" w:rsidRDefault="00497C43" w:rsidP="00497C43">
                      <w:pPr>
                        <w:jc w:val="center"/>
                      </w:pPr>
                    </w:p>
                  </w:txbxContent>
                </v:textbox>
              </v:rect>
            </w:pict>
          </mc:Fallback>
        </mc:AlternateContent>
      </w:r>
    </w:p>
    <w:p w:rsidR="00497C43" w:rsidRDefault="00497C43" w:rsidP="00910078"/>
    <w:p w:rsidR="00B34529" w:rsidRDefault="00B34529" w:rsidP="00910078"/>
    <w:p w:rsidR="00B34529" w:rsidRDefault="00B34529" w:rsidP="00910078"/>
    <w:p w:rsidR="00C46F48" w:rsidRDefault="00C46F48" w:rsidP="00910078"/>
    <w:p w:rsidR="00C46F48" w:rsidRDefault="00C46F48" w:rsidP="00C46F48">
      <w:pPr>
        <w:pStyle w:val="Overskrift2"/>
      </w:pPr>
    </w:p>
    <w:p w:rsidR="00C46F48" w:rsidRDefault="00C46F48" w:rsidP="00C46F48">
      <w:pPr>
        <w:pStyle w:val="Overskrift3"/>
      </w:pPr>
    </w:p>
    <w:p w:rsidR="00C46F48" w:rsidRDefault="00C46F48" w:rsidP="00F20B77"/>
    <w:p w:rsidR="00F20B77" w:rsidRDefault="00F20B77" w:rsidP="00F20B77"/>
    <w:p w:rsidR="00F20B77" w:rsidRDefault="00F20B77" w:rsidP="00F20B77"/>
    <w:p w:rsidR="00F20B77" w:rsidRDefault="00F20B77" w:rsidP="00F20B77"/>
    <w:p w:rsidR="00F20B77" w:rsidRDefault="00F20B77" w:rsidP="00F20B77"/>
    <w:p w:rsidR="00F20B77" w:rsidRDefault="00F20B77" w:rsidP="00F20B77"/>
    <w:p w:rsidR="00F20B77" w:rsidRDefault="00F20B77" w:rsidP="00F20B77"/>
    <w:p w:rsidR="00F20B77" w:rsidRDefault="00F20B77" w:rsidP="00F20B77"/>
    <w:p w:rsidR="00F20B77" w:rsidRDefault="00F20B77" w:rsidP="00F20B77"/>
    <w:p w:rsidR="00F20B77" w:rsidRDefault="00F20B77" w:rsidP="00F20B77"/>
    <w:p w:rsidR="00F20B77" w:rsidRDefault="00F20B77" w:rsidP="00F20B77"/>
    <w:p w:rsidR="00F20B77" w:rsidRDefault="00F20B77" w:rsidP="00572323">
      <w:pPr>
        <w:spacing w:line="240" w:lineRule="auto"/>
      </w:pPr>
    </w:p>
    <w:p w:rsidR="00572323" w:rsidRDefault="00572323" w:rsidP="00572323">
      <w:pPr>
        <w:spacing w:line="240" w:lineRule="auto"/>
        <w:rPr>
          <w:sz w:val="22"/>
        </w:rPr>
      </w:pPr>
    </w:p>
    <w:p w:rsidR="00572323" w:rsidRPr="00C32FBF" w:rsidRDefault="00572323" w:rsidP="00572323">
      <w:pPr>
        <w:spacing w:line="240" w:lineRule="auto"/>
        <w:rPr>
          <w:sz w:val="20"/>
          <w:szCs w:val="20"/>
        </w:rPr>
      </w:pPr>
    </w:p>
    <w:p w:rsidR="00C32FBF" w:rsidRDefault="00C32FBF" w:rsidP="00CB11C8">
      <w:pPr>
        <w:spacing w:line="240" w:lineRule="auto"/>
        <w:rPr>
          <w:sz w:val="20"/>
          <w:szCs w:val="20"/>
        </w:rPr>
      </w:pPr>
    </w:p>
    <w:p w:rsidR="00C32FBF" w:rsidRDefault="00C32FBF" w:rsidP="00CB11C8">
      <w:pPr>
        <w:spacing w:line="240" w:lineRule="auto"/>
        <w:rPr>
          <w:sz w:val="20"/>
          <w:szCs w:val="20"/>
        </w:rPr>
      </w:pPr>
    </w:p>
    <w:p w:rsidR="00C32FBF" w:rsidRDefault="00C32FBF" w:rsidP="00CB11C8">
      <w:pPr>
        <w:spacing w:line="240" w:lineRule="auto"/>
        <w:rPr>
          <w:sz w:val="20"/>
          <w:szCs w:val="20"/>
        </w:rPr>
      </w:pPr>
    </w:p>
    <w:p w:rsidR="00497C43" w:rsidRDefault="00497C43" w:rsidP="00CB11C8">
      <w:pPr>
        <w:spacing w:line="240" w:lineRule="auto"/>
        <w:rPr>
          <w:sz w:val="20"/>
          <w:szCs w:val="20"/>
        </w:rPr>
      </w:pPr>
    </w:p>
    <w:p w:rsidR="00CB11C8" w:rsidRDefault="00F20B77" w:rsidP="00CB11C8">
      <w:pPr>
        <w:spacing w:line="240" w:lineRule="auto"/>
        <w:rPr>
          <w:sz w:val="20"/>
          <w:szCs w:val="20"/>
        </w:rPr>
      </w:pPr>
      <w:r w:rsidRPr="00C32FBF">
        <w:rPr>
          <w:sz w:val="20"/>
          <w:szCs w:val="20"/>
        </w:rPr>
        <w:t xml:space="preserve">Hvis du oplever at du selv eller en kollega </w:t>
      </w:r>
      <w:r w:rsidR="000A1EB5" w:rsidRPr="00C32FBF">
        <w:rPr>
          <w:sz w:val="20"/>
          <w:szCs w:val="20"/>
        </w:rPr>
        <w:t xml:space="preserve">er udsat for </w:t>
      </w:r>
      <w:r w:rsidR="00C32FBF" w:rsidRPr="00C32FBF">
        <w:rPr>
          <w:sz w:val="20"/>
          <w:szCs w:val="20"/>
        </w:rPr>
        <w:t xml:space="preserve">krænkende handlinger, herunder </w:t>
      </w:r>
      <w:r w:rsidR="000A1EB5" w:rsidRPr="00C32FBF">
        <w:rPr>
          <w:sz w:val="20"/>
          <w:szCs w:val="20"/>
        </w:rPr>
        <w:t>mobning eller seksuel chikane</w:t>
      </w:r>
      <w:r w:rsidR="00572323" w:rsidRPr="00C32FBF">
        <w:rPr>
          <w:sz w:val="20"/>
          <w:szCs w:val="20"/>
        </w:rPr>
        <w:t xml:space="preserve"> her på arbejdspladsen</w:t>
      </w:r>
      <w:r w:rsidR="001A40EF" w:rsidRPr="00C32FBF">
        <w:rPr>
          <w:sz w:val="20"/>
          <w:szCs w:val="20"/>
        </w:rPr>
        <w:t>,</w:t>
      </w:r>
      <w:r w:rsidR="000A1EB5" w:rsidRPr="00C32FBF">
        <w:rPr>
          <w:sz w:val="20"/>
          <w:szCs w:val="20"/>
        </w:rPr>
        <w:t xml:space="preserve"> </w:t>
      </w:r>
      <w:r w:rsidR="005C7C65" w:rsidRPr="00C32FBF">
        <w:rPr>
          <w:sz w:val="20"/>
          <w:szCs w:val="20"/>
        </w:rPr>
        <w:t xml:space="preserve">er du forpligtet til at </w:t>
      </w:r>
      <w:r w:rsidR="000A1EB5" w:rsidRPr="00C32FBF">
        <w:rPr>
          <w:sz w:val="20"/>
          <w:szCs w:val="20"/>
        </w:rPr>
        <w:t xml:space="preserve">henvende dig til </w:t>
      </w:r>
      <w:r w:rsidR="0017695A" w:rsidRPr="00C32FBF">
        <w:rPr>
          <w:sz w:val="20"/>
          <w:szCs w:val="20"/>
        </w:rPr>
        <w:t>en af dem</w:t>
      </w:r>
      <w:r w:rsidR="00F604E5" w:rsidRPr="00C32FBF">
        <w:rPr>
          <w:sz w:val="20"/>
          <w:szCs w:val="20"/>
        </w:rPr>
        <w:t xml:space="preserve"> i det </w:t>
      </w:r>
      <w:proofErr w:type="spellStart"/>
      <w:r w:rsidR="00F604E5" w:rsidRPr="00C32FBF">
        <w:rPr>
          <w:sz w:val="20"/>
          <w:szCs w:val="20"/>
        </w:rPr>
        <w:t>nede</w:t>
      </w:r>
      <w:r w:rsidR="00C32FBF">
        <w:rPr>
          <w:sz w:val="20"/>
          <w:szCs w:val="20"/>
        </w:rPr>
        <w:t>n-</w:t>
      </w:r>
      <w:r w:rsidR="00F604E5" w:rsidRPr="00C32FBF">
        <w:rPr>
          <w:sz w:val="20"/>
          <w:szCs w:val="20"/>
        </w:rPr>
        <w:t>stående</w:t>
      </w:r>
      <w:proofErr w:type="spellEnd"/>
      <w:r w:rsidR="00F604E5" w:rsidRPr="00C32FBF">
        <w:rPr>
          <w:sz w:val="20"/>
          <w:szCs w:val="20"/>
        </w:rPr>
        <w:t xml:space="preserve"> skema. De har alle kendskab til </w:t>
      </w:r>
      <w:r w:rsidR="00C32FBF" w:rsidRPr="00C32FBF">
        <w:rPr>
          <w:sz w:val="20"/>
          <w:szCs w:val="20"/>
        </w:rPr>
        <w:t xml:space="preserve">krænkende handlinger </w:t>
      </w:r>
      <w:r w:rsidR="00F604E5" w:rsidRPr="00C32FBF">
        <w:rPr>
          <w:sz w:val="20"/>
          <w:szCs w:val="20"/>
        </w:rPr>
        <w:t xml:space="preserve">og </w:t>
      </w:r>
      <w:r w:rsidR="00572323" w:rsidRPr="00C32FBF">
        <w:rPr>
          <w:sz w:val="20"/>
          <w:szCs w:val="20"/>
        </w:rPr>
        <w:t>vil hjælpe dig med at håndtere det</w:t>
      </w:r>
      <w:r w:rsidR="00497C43">
        <w:rPr>
          <w:sz w:val="20"/>
          <w:szCs w:val="20"/>
        </w:rPr>
        <w:t>.</w:t>
      </w:r>
    </w:p>
    <w:p w:rsidR="00C32FBF" w:rsidRPr="00C32FBF" w:rsidRDefault="00C32FBF" w:rsidP="00CB11C8">
      <w:pPr>
        <w:spacing w:line="240" w:lineRule="auto"/>
        <w:rPr>
          <w:sz w:val="20"/>
          <w:szCs w:val="20"/>
        </w:rPr>
      </w:pPr>
    </w:p>
    <w:tbl>
      <w:tblPr>
        <w:tblStyle w:val="Tabel-Gitter"/>
        <w:tblW w:w="0" w:type="auto"/>
        <w:tblLook w:val="04A0" w:firstRow="1" w:lastRow="0" w:firstColumn="1" w:lastColumn="0" w:noHBand="0" w:noVBand="1"/>
      </w:tblPr>
      <w:tblGrid>
        <w:gridCol w:w="3458"/>
        <w:gridCol w:w="3470"/>
        <w:gridCol w:w="3464"/>
      </w:tblGrid>
      <w:tr w:rsidR="000A1EB5" w:rsidRPr="00C32FBF" w:rsidTr="00497C43">
        <w:trPr>
          <w:trHeight w:val="307"/>
        </w:trPr>
        <w:tc>
          <w:tcPr>
            <w:tcW w:w="3458" w:type="dxa"/>
          </w:tcPr>
          <w:p w:rsidR="000A1EB5" w:rsidRPr="00C32FBF" w:rsidRDefault="000A1EB5" w:rsidP="00497C43">
            <w:pPr>
              <w:spacing w:line="240" w:lineRule="auto"/>
              <w:rPr>
                <w:sz w:val="20"/>
                <w:szCs w:val="20"/>
              </w:rPr>
            </w:pPr>
            <w:r w:rsidRPr="00C32FBF">
              <w:rPr>
                <w:sz w:val="20"/>
                <w:szCs w:val="20"/>
              </w:rPr>
              <w:t>Navn</w:t>
            </w:r>
          </w:p>
        </w:tc>
        <w:tc>
          <w:tcPr>
            <w:tcW w:w="3470" w:type="dxa"/>
          </w:tcPr>
          <w:p w:rsidR="000A1EB5" w:rsidRPr="00C32FBF" w:rsidRDefault="000A1EB5" w:rsidP="00497C43">
            <w:pPr>
              <w:spacing w:line="240" w:lineRule="auto"/>
              <w:rPr>
                <w:sz w:val="20"/>
                <w:szCs w:val="20"/>
              </w:rPr>
            </w:pPr>
            <w:r w:rsidRPr="00C32FBF">
              <w:rPr>
                <w:sz w:val="20"/>
                <w:szCs w:val="20"/>
              </w:rPr>
              <w:t>Titel</w:t>
            </w:r>
          </w:p>
        </w:tc>
        <w:tc>
          <w:tcPr>
            <w:tcW w:w="3464" w:type="dxa"/>
          </w:tcPr>
          <w:p w:rsidR="000A1EB5" w:rsidRPr="00C32FBF" w:rsidRDefault="000A1EB5" w:rsidP="00497C43">
            <w:pPr>
              <w:spacing w:line="240" w:lineRule="auto"/>
              <w:rPr>
                <w:sz w:val="20"/>
                <w:szCs w:val="20"/>
              </w:rPr>
            </w:pPr>
            <w:r w:rsidRPr="00C32FBF">
              <w:rPr>
                <w:sz w:val="20"/>
                <w:szCs w:val="20"/>
              </w:rPr>
              <w:t>Telefon/mail/</w:t>
            </w:r>
          </w:p>
        </w:tc>
      </w:tr>
      <w:tr w:rsidR="000A1EB5" w:rsidRPr="00C32FBF" w:rsidTr="00497C43">
        <w:trPr>
          <w:trHeight w:val="307"/>
        </w:trPr>
        <w:tc>
          <w:tcPr>
            <w:tcW w:w="3458" w:type="dxa"/>
          </w:tcPr>
          <w:p w:rsidR="000A1EB5" w:rsidRPr="00C32FBF" w:rsidRDefault="000A1EB5" w:rsidP="00497C43">
            <w:pPr>
              <w:spacing w:line="240" w:lineRule="auto"/>
              <w:rPr>
                <w:sz w:val="20"/>
                <w:szCs w:val="20"/>
              </w:rPr>
            </w:pPr>
            <w:r w:rsidRPr="00C32FBF">
              <w:rPr>
                <w:sz w:val="20"/>
                <w:szCs w:val="20"/>
              </w:rPr>
              <w:t>Nærmeste leder xx</w:t>
            </w:r>
          </w:p>
        </w:tc>
        <w:tc>
          <w:tcPr>
            <w:tcW w:w="3470" w:type="dxa"/>
          </w:tcPr>
          <w:p w:rsidR="000A1EB5" w:rsidRPr="00C32FBF" w:rsidRDefault="000A1EB5" w:rsidP="00497C43">
            <w:pPr>
              <w:spacing w:line="240" w:lineRule="auto"/>
              <w:rPr>
                <w:sz w:val="20"/>
                <w:szCs w:val="20"/>
              </w:rPr>
            </w:pPr>
          </w:p>
        </w:tc>
        <w:tc>
          <w:tcPr>
            <w:tcW w:w="3464" w:type="dxa"/>
          </w:tcPr>
          <w:p w:rsidR="000A1EB5" w:rsidRPr="00C32FBF" w:rsidRDefault="000A1EB5" w:rsidP="00497C43">
            <w:pPr>
              <w:spacing w:line="240" w:lineRule="auto"/>
              <w:rPr>
                <w:sz w:val="20"/>
                <w:szCs w:val="20"/>
              </w:rPr>
            </w:pPr>
          </w:p>
        </w:tc>
      </w:tr>
      <w:tr w:rsidR="000A1EB5" w:rsidRPr="00C32FBF" w:rsidTr="00497C43">
        <w:trPr>
          <w:trHeight w:val="307"/>
        </w:trPr>
        <w:tc>
          <w:tcPr>
            <w:tcW w:w="3458" w:type="dxa"/>
          </w:tcPr>
          <w:p w:rsidR="000A1EB5" w:rsidRPr="00C32FBF" w:rsidRDefault="000A1EB5" w:rsidP="00497C43">
            <w:pPr>
              <w:spacing w:line="240" w:lineRule="auto"/>
              <w:rPr>
                <w:sz w:val="20"/>
                <w:szCs w:val="20"/>
              </w:rPr>
            </w:pPr>
            <w:r w:rsidRPr="00C32FBF">
              <w:rPr>
                <w:sz w:val="20"/>
                <w:szCs w:val="20"/>
              </w:rPr>
              <w:t>Øverste leder xx</w:t>
            </w:r>
          </w:p>
        </w:tc>
        <w:tc>
          <w:tcPr>
            <w:tcW w:w="3470" w:type="dxa"/>
          </w:tcPr>
          <w:p w:rsidR="000A1EB5" w:rsidRPr="00C32FBF" w:rsidRDefault="000A1EB5" w:rsidP="00497C43">
            <w:pPr>
              <w:spacing w:line="240" w:lineRule="auto"/>
              <w:rPr>
                <w:sz w:val="20"/>
                <w:szCs w:val="20"/>
              </w:rPr>
            </w:pPr>
          </w:p>
        </w:tc>
        <w:tc>
          <w:tcPr>
            <w:tcW w:w="3464" w:type="dxa"/>
          </w:tcPr>
          <w:p w:rsidR="000A1EB5" w:rsidRPr="00C32FBF" w:rsidRDefault="000A1EB5" w:rsidP="00497C43">
            <w:pPr>
              <w:spacing w:line="240" w:lineRule="auto"/>
              <w:rPr>
                <w:sz w:val="20"/>
                <w:szCs w:val="20"/>
              </w:rPr>
            </w:pPr>
          </w:p>
        </w:tc>
      </w:tr>
      <w:tr w:rsidR="000A1EB5" w:rsidRPr="00C32FBF" w:rsidTr="00497C43">
        <w:trPr>
          <w:trHeight w:val="307"/>
        </w:trPr>
        <w:tc>
          <w:tcPr>
            <w:tcW w:w="3458" w:type="dxa"/>
          </w:tcPr>
          <w:p w:rsidR="000A1EB5" w:rsidRPr="00C32FBF" w:rsidRDefault="000A1EB5" w:rsidP="00497C43">
            <w:pPr>
              <w:spacing w:line="240" w:lineRule="auto"/>
              <w:rPr>
                <w:sz w:val="20"/>
                <w:szCs w:val="20"/>
              </w:rPr>
            </w:pPr>
            <w:r w:rsidRPr="00C32FBF">
              <w:rPr>
                <w:sz w:val="20"/>
                <w:szCs w:val="20"/>
              </w:rPr>
              <w:t>AMR xx</w:t>
            </w:r>
          </w:p>
        </w:tc>
        <w:tc>
          <w:tcPr>
            <w:tcW w:w="3470" w:type="dxa"/>
          </w:tcPr>
          <w:p w:rsidR="000A1EB5" w:rsidRPr="00C32FBF" w:rsidRDefault="000A1EB5" w:rsidP="00497C43">
            <w:pPr>
              <w:spacing w:line="240" w:lineRule="auto"/>
              <w:rPr>
                <w:sz w:val="20"/>
                <w:szCs w:val="20"/>
              </w:rPr>
            </w:pPr>
          </w:p>
        </w:tc>
        <w:tc>
          <w:tcPr>
            <w:tcW w:w="3464" w:type="dxa"/>
          </w:tcPr>
          <w:p w:rsidR="000A1EB5" w:rsidRPr="00C32FBF" w:rsidRDefault="000A1EB5" w:rsidP="00497C43">
            <w:pPr>
              <w:spacing w:line="240" w:lineRule="auto"/>
              <w:rPr>
                <w:sz w:val="20"/>
                <w:szCs w:val="20"/>
              </w:rPr>
            </w:pPr>
          </w:p>
        </w:tc>
      </w:tr>
      <w:tr w:rsidR="000A1EB5" w:rsidRPr="00C32FBF" w:rsidTr="00497C43">
        <w:trPr>
          <w:trHeight w:val="320"/>
        </w:trPr>
        <w:tc>
          <w:tcPr>
            <w:tcW w:w="3458" w:type="dxa"/>
          </w:tcPr>
          <w:p w:rsidR="000A1EB5" w:rsidRPr="00C32FBF" w:rsidRDefault="000A1EB5" w:rsidP="00497C43">
            <w:pPr>
              <w:spacing w:line="240" w:lineRule="auto"/>
              <w:rPr>
                <w:sz w:val="20"/>
                <w:szCs w:val="20"/>
              </w:rPr>
            </w:pPr>
            <w:r w:rsidRPr="00C32FBF">
              <w:rPr>
                <w:sz w:val="20"/>
                <w:szCs w:val="20"/>
              </w:rPr>
              <w:t>TR xx</w:t>
            </w:r>
          </w:p>
        </w:tc>
        <w:tc>
          <w:tcPr>
            <w:tcW w:w="3470" w:type="dxa"/>
          </w:tcPr>
          <w:p w:rsidR="000A1EB5" w:rsidRPr="00C32FBF" w:rsidRDefault="000A1EB5" w:rsidP="00497C43">
            <w:pPr>
              <w:spacing w:line="240" w:lineRule="auto"/>
              <w:rPr>
                <w:sz w:val="20"/>
                <w:szCs w:val="20"/>
              </w:rPr>
            </w:pPr>
          </w:p>
        </w:tc>
        <w:tc>
          <w:tcPr>
            <w:tcW w:w="3464" w:type="dxa"/>
          </w:tcPr>
          <w:p w:rsidR="000A1EB5" w:rsidRPr="00C32FBF" w:rsidRDefault="000A1EB5" w:rsidP="00497C43">
            <w:pPr>
              <w:spacing w:line="240" w:lineRule="auto"/>
              <w:rPr>
                <w:sz w:val="20"/>
                <w:szCs w:val="20"/>
              </w:rPr>
            </w:pPr>
          </w:p>
        </w:tc>
      </w:tr>
      <w:tr w:rsidR="00F604E5" w:rsidRPr="00C32FBF" w:rsidTr="00497C43">
        <w:trPr>
          <w:trHeight w:val="320"/>
        </w:trPr>
        <w:tc>
          <w:tcPr>
            <w:tcW w:w="3458" w:type="dxa"/>
          </w:tcPr>
          <w:p w:rsidR="00F604E5" w:rsidRPr="00C32FBF" w:rsidRDefault="00C32FBF" w:rsidP="00497C43">
            <w:pPr>
              <w:spacing w:line="240" w:lineRule="auto"/>
              <w:rPr>
                <w:sz w:val="20"/>
                <w:szCs w:val="20"/>
              </w:rPr>
            </w:pPr>
            <w:r w:rsidRPr="00C32FBF">
              <w:rPr>
                <w:sz w:val="20"/>
                <w:szCs w:val="20"/>
              </w:rPr>
              <w:t>Tina Høeg Brask</w:t>
            </w:r>
          </w:p>
        </w:tc>
        <w:tc>
          <w:tcPr>
            <w:tcW w:w="3470" w:type="dxa"/>
          </w:tcPr>
          <w:p w:rsidR="00F604E5" w:rsidRPr="00C32FBF" w:rsidRDefault="005C7C65" w:rsidP="00497C43">
            <w:pPr>
              <w:spacing w:line="240" w:lineRule="auto"/>
              <w:rPr>
                <w:sz w:val="20"/>
                <w:szCs w:val="20"/>
              </w:rPr>
            </w:pPr>
            <w:r w:rsidRPr="00C32FBF">
              <w:rPr>
                <w:sz w:val="20"/>
                <w:szCs w:val="20"/>
              </w:rPr>
              <w:t>Forhandlingschef</w:t>
            </w:r>
          </w:p>
        </w:tc>
        <w:tc>
          <w:tcPr>
            <w:tcW w:w="3464" w:type="dxa"/>
          </w:tcPr>
          <w:p w:rsidR="00F604E5" w:rsidRPr="00C32FBF" w:rsidRDefault="00F604E5" w:rsidP="00497C43">
            <w:pPr>
              <w:spacing w:line="240" w:lineRule="auto"/>
              <w:rPr>
                <w:sz w:val="20"/>
                <w:szCs w:val="20"/>
              </w:rPr>
            </w:pPr>
          </w:p>
        </w:tc>
      </w:tr>
    </w:tbl>
    <w:p w:rsidR="003F58D4" w:rsidRPr="00C32FBF" w:rsidRDefault="003F58D4" w:rsidP="00F20B77">
      <w:pPr>
        <w:rPr>
          <w:sz w:val="20"/>
          <w:szCs w:val="20"/>
        </w:rPr>
      </w:pPr>
    </w:p>
    <w:p w:rsidR="00CB11C8" w:rsidRPr="00C32FBF" w:rsidRDefault="00CB11C8" w:rsidP="00CB11C8">
      <w:pPr>
        <w:spacing w:line="240" w:lineRule="auto"/>
        <w:rPr>
          <w:sz w:val="20"/>
          <w:szCs w:val="20"/>
        </w:rPr>
      </w:pPr>
      <w:r w:rsidRPr="00C32FBF">
        <w:rPr>
          <w:sz w:val="20"/>
          <w:szCs w:val="20"/>
        </w:rPr>
        <w:t>Desude</w:t>
      </w:r>
      <w:r w:rsidR="00C32FBF" w:rsidRPr="00C32FBF">
        <w:rPr>
          <w:sz w:val="20"/>
          <w:szCs w:val="20"/>
        </w:rPr>
        <w:t>n har kommunen en whistleblower</w:t>
      </w:r>
      <w:r w:rsidRPr="00C32FBF">
        <w:rPr>
          <w:sz w:val="20"/>
          <w:szCs w:val="20"/>
        </w:rPr>
        <w:t>ordning, hvor du har mulighed for at indberette alvorlige forseelser.</w:t>
      </w:r>
      <w:r w:rsidR="00497C43">
        <w:rPr>
          <w:sz w:val="20"/>
          <w:szCs w:val="20"/>
        </w:rPr>
        <w:t xml:space="preserve"> Du kan læse om ordningen på hosfrede.dk.</w:t>
      </w:r>
    </w:p>
    <w:p w:rsidR="00497C43" w:rsidRDefault="00497C43" w:rsidP="00F20B77">
      <w:pPr>
        <w:rPr>
          <w:sz w:val="20"/>
          <w:szCs w:val="20"/>
        </w:rPr>
      </w:pPr>
    </w:p>
    <w:p w:rsidR="003F58D4" w:rsidRPr="00C32FBF" w:rsidRDefault="003F58D4" w:rsidP="00F20B77">
      <w:pPr>
        <w:rPr>
          <w:sz w:val="20"/>
          <w:szCs w:val="20"/>
        </w:rPr>
      </w:pPr>
      <w:r w:rsidRPr="00C32FBF">
        <w:rPr>
          <w:sz w:val="20"/>
          <w:szCs w:val="20"/>
        </w:rPr>
        <w:t>Underskrevet</w:t>
      </w:r>
      <w:r w:rsidR="00F604E5" w:rsidRPr="00C32FBF">
        <w:rPr>
          <w:sz w:val="20"/>
          <w:szCs w:val="20"/>
        </w:rPr>
        <w:t>:</w:t>
      </w:r>
      <w:r w:rsidRPr="00C32FBF">
        <w:rPr>
          <w:sz w:val="20"/>
          <w:szCs w:val="20"/>
        </w:rPr>
        <w:t xml:space="preserve"> </w:t>
      </w:r>
      <w:r w:rsidR="00F604E5" w:rsidRPr="00C32FBF">
        <w:rPr>
          <w:sz w:val="20"/>
          <w:szCs w:val="20"/>
        </w:rPr>
        <w:t>L</w:t>
      </w:r>
      <w:r w:rsidRPr="00C32FBF">
        <w:rPr>
          <w:sz w:val="20"/>
          <w:szCs w:val="20"/>
        </w:rPr>
        <w:t>okal-MED, arbejdsmiljøgruppen</w:t>
      </w:r>
      <w:r w:rsidR="00F604E5" w:rsidRPr="00C32FBF">
        <w:rPr>
          <w:sz w:val="20"/>
          <w:szCs w:val="20"/>
        </w:rPr>
        <w:t>, leder, AMR, TR ….</w:t>
      </w:r>
    </w:p>
    <w:sectPr w:rsidR="003F58D4" w:rsidRPr="00C32FBF" w:rsidSect="00572323">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29"/>
    <w:rsid w:val="00004151"/>
    <w:rsid w:val="00014448"/>
    <w:rsid w:val="0003410A"/>
    <w:rsid w:val="00062B3A"/>
    <w:rsid w:val="000A1EB5"/>
    <w:rsid w:val="000B475A"/>
    <w:rsid w:val="000C0B06"/>
    <w:rsid w:val="000C488D"/>
    <w:rsid w:val="000C7724"/>
    <w:rsid w:val="00112D79"/>
    <w:rsid w:val="00116DB8"/>
    <w:rsid w:val="0013555E"/>
    <w:rsid w:val="00145803"/>
    <w:rsid w:val="001579B4"/>
    <w:rsid w:val="001630E6"/>
    <w:rsid w:val="0017695A"/>
    <w:rsid w:val="001A40EF"/>
    <w:rsid w:val="001C7164"/>
    <w:rsid w:val="001D03C6"/>
    <w:rsid w:val="001F5361"/>
    <w:rsid w:val="001F6660"/>
    <w:rsid w:val="00250C55"/>
    <w:rsid w:val="00261065"/>
    <w:rsid w:val="002702C4"/>
    <w:rsid w:val="00274D64"/>
    <w:rsid w:val="00275B06"/>
    <w:rsid w:val="00287CC6"/>
    <w:rsid w:val="0029213F"/>
    <w:rsid w:val="002B19A2"/>
    <w:rsid w:val="002C16F3"/>
    <w:rsid w:val="002C6358"/>
    <w:rsid w:val="002E5244"/>
    <w:rsid w:val="002F6931"/>
    <w:rsid w:val="00306D56"/>
    <w:rsid w:val="003520CC"/>
    <w:rsid w:val="00382862"/>
    <w:rsid w:val="00384B7B"/>
    <w:rsid w:val="00394311"/>
    <w:rsid w:val="003A0EA1"/>
    <w:rsid w:val="003A52EA"/>
    <w:rsid w:val="003C62B6"/>
    <w:rsid w:val="003F1292"/>
    <w:rsid w:val="003F58D4"/>
    <w:rsid w:val="004006C7"/>
    <w:rsid w:val="00441BE2"/>
    <w:rsid w:val="004557EF"/>
    <w:rsid w:val="0047416E"/>
    <w:rsid w:val="00490342"/>
    <w:rsid w:val="00497C43"/>
    <w:rsid w:val="004C325C"/>
    <w:rsid w:val="004C5D53"/>
    <w:rsid w:val="004D038E"/>
    <w:rsid w:val="004F4168"/>
    <w:rsid w:val="005103A6"/>
    <w:rsid w:val="005478CA"/>
    <w:rsid w:val="00565E82"/>
    <w:rsid w:val="00572323"/>
    <w:rsid w:val="0057690F"/>
    <w:rsid w:val="0058226F"/>
    <w:rsid w:val="00592A8C"/>
    <w:rsid w:val="005934EE"/>
    <w:rsid w:val="005B651B"/>
    <w:rsid w:val="005C5C53"/>
    <w:rsid w:val="005C7C65"/>
    <w:rsid w:val="005F46D5"/>
    <w:rsid w:val="00606E76"/>
    <w:rsid w:val="00613665"/>
    <w:rsid w:val="00615565"/>
    <w:rsid w:val="00680C85"/>
    <w:rsid w:val="00693037"/>
    <w:rsid w:val="006A1D63"/>
    <w:rsid w:val="006A7C9C"/>
    <w:rsid w:val="007146A6"/>
    <w:rsid w:val="007178B5"/>
    <w:rsid w:val="0073549C"/>
    <w:rsid w:val="007558BD"/>
    <w:rsid w:val="00785527"/>
    <w:rsid w:val="00792CC5"/>
    <w:rsid w:val="007C291E"/>
    <w:rsid w:val="007D0555"/>
    <w:rsid w:val="00847BA3"/>
    <w:rsid w:val="00863DCB"/>
    <w:rsid w:val="00894756"/>
    <w:rsid w:val="008B0EEB"/>
    <w:rsid w:val="008C0E5D"/>
    <w:rsid w:val="008D2B5E"/>
    <w:rsid w:val="008D38BF"/>
    <w:rsid w:val="00910078"/>
    <w:rsid w:val="00936F9D"/>
    <w:rsid w:val="009679EC"/>
    <w:rsid w:val="00975FFD"/>
    <w:rsid w:val="00976DD1"/>
    <w:rsid w:val="00983F8A"/>
    <w:rsid w:val="009922A8"/>
    <w:rsid w:val="009B1FCB"/>
    <w:rsid w:val="009E793F"/>
    <w:rsid w:val="00A10EB1"/>
    <w:rsid w:val="00A123F2"/>
    <w:rsid w:val="00A371E9"/>
    <w:rsid w:val="00A4672E"/>
    <w:rsid w:val="00A56665"/>
    <w:rsid w:val="00A6748D"/>
    <w:rsid w:val="00AA1D24"/>
    <w:rsid w:val="00AC7485"/>
    <w:rsid w:val="00B07554"/>
    <w:rsid w:val="00B22BCA"/>
    <w:rsid w:val="00B34529"/>
    <w:rsid w:val="00B6008D"/>
    <w:rsid w:val="00B60761"/>
    <w:rsid w:val="00BB4FEF"/>
    <w:rsid w:val="00BD5BC9"/>
    <w:rsid w:val="00BE2003"/>
    <w:rsid w:val="00C26472"/>
    <w:rsid w:val="00C32FBF"/>
    <w:rsid w:val="00C46F48"/>
    <w:rsid w:val="00C93C11"/>
    <w:rsid w:val="00CB11C8"/>
    <w:rsid w:val="00CF4191"/>
    <w:rsid w:val="00D07607"/>
    <w:rsid w:val="00D2028D"/>
    <w:rsid w:val="00D2088B"/>
    <w:rsid w:val="00D21DAD"/>
    <w:rsid w:val="00D24DD2"/>
    <w:rsid w:val="00D80037"/>
    <w:rsid w:val="00D83086"/>
    <w:rsid w:val="00D87A27"/>
    <w:rsid w:val="00D920F2"/>
    <w:rsid w:val="00E13003"/>
    <w:rsid w:val="00E74204"/>
    <w:rsid w:val="00E81B6E"/>
    <w:rsid w:val="00EA15C6"/>
    <w:rsid w:val="00EC2908"/>
    <w:rsid w:val="00EC542E"/>
    <w:rsid w:val="00ED1B24"/>
    <w:rsid w:val="00EE1939"/>
    <w:rsid w:val="00EF4F8A"/>
    <w:rsid w:val="00F20B77"/>
    <w:rsid w:val="00F604E5"/>
    <w:rsid w:val="00F715B2"/>
    <w:rsid w:val="00F740C6"/>
    <w:rsid w:val="00F93E4B"/>
    <w:rsid w:val="00FA01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1F4B4-3E27-448F-A144-F529AA64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529"/>
    <w:pPr>
      <w:spacing w:after="0" w:line="360" w:lineRule="auto"/>
    </w:pPr>
    <w:rPr>
      <w:rFonts w:ascii="Verdana" w:hAnsi="Verdana"/>
      <w:sz w:val="18"/>
    </w:rPr>
  </w:style>
  <w:style w:type="paragraph" w:styleId="Overskrift1">
    <w:name w:val="heading 1"/>
    <w:basedOn w:val="Normal"/>
    <w:next w:val="Normal"/>
    <w:link w:val="Overskrift1Tegn"/>
    <w:uiPriority w:val="9"/>
    <w:qFormat/>
    <w:rsid w:val="00C46F48"/>
    <w:pPr>
      <w:keepNext/>
      <w:keepLines/>
      <w:spacing w:before="48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C46F48"/>
    <w:pPr>
      <w:keepNext/>
      <w:keepLines/>
      <w:spacing w:before="200"/>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C46F48"/>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C46F48"/>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semiHidden/>
    <w:unhideWhenUsed/>
    <w:qFormat/>
    <w:rsid w:val="008D2B5E"/>
    <w:pPr>
      <w:keepNext/>
      <w:keepLines/>
      <w:spacing w:before="20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qFormat/>
    <w:rsid w:val="008D2B5E"/>
    <w:pPr>
      <w:keepNext/>
      <w:keepLines/>
      <w:spacing w:before="20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qFormat/>
    <w:rsid w:val="008D2B5E"/>
    <w:pPr>
      <w:keepNext/>
      <w:keepLines/>
      <w:spacing w:before="20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8D2B5E"/>
    <w:pPr>
      <w:keepNext/>
      <w:keepLines/>
      <w:spacing w:before="20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8D2B5E"/>
    <w:pPr>
      <w:keepNext/>
      <w:keepLines/>
      <w:spacing w:before="200"/>
      <w:outlineLvl w:val="8"/>
    </w:pPr>
    <w:rPr>
      <w:rFonts w:asciiTheme="majorHAnsi" w:eastAsiaTheme="majorEastAsia" w:hAnsiTheme="majorHAnsi" w:cstheme="majorBidi"/>
      <w:i/>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46F48"/>
    <w:rPr>
      <w:rFonts w:ascii="Verdana" w:eastAsiaTheme="majorEastAsia" w:hAnsi="Verdana" w:cstheme="majorBidi"/>
      <w:b/>
      <w:bCs/>
      <w:sz w:val="28"/>
      <w:szCs w:val="28"/>
    </w:rPr>
  </w:style>
  <w:style w:type="character" w:customStyle="1" w:styleId="Overskrift2Tegn">
    <w:name w:val="Overskrift 2 Tegn"/>
    <w:basedOn w:val="Standardskrifttypeiafsnit"/>
    <w:link w:val="Overskrift2"/>
    <w:uiPriority w:val="9"/>
    <w:rsid w:val="00C46F48"/>
    <w:rPr>
      <w:rFonts w:ascii="Verdana" w:eastAsiaTheme="majorEastAsia" w:hAnsi="Verdana" w:cstheme="majorBidi"/>
      <w:b/>
      <w:bCs/>
      <w:sz w:val="26"/>
      <w:szCs w:val="26"/>
    </w:rPr>
  </w:style>
  <w:style w:type="character" w:customStyle="1" w:styleId="Overskrift3Tegn">
    <w:name w:val="Overskrift 3 Tegn"/>
    <w:basedOn w:val="Standardskrifttypeiafsnit"/>
    <w:link w:val="Overskrift3"/>
    <w:uiPriority w:val="9"/>
    <w:rsid w:val="00C46F48"/>
    <w:rPr>
      <w:rFonts w:ascii="Verdana" w:eastAsiaTheme="majorEastAsia" w:hAnsi="Verdana" w:cstheme="majorBidi"/>
      <w:b/>
      <w:bCs/>
      <w:sz w:val="18"/>
    </w:rPr>
  </w:style>
  <w:style w:type="character" w:customStyle="1" w:styleId="Overskrift4Tegn">
    <w:name w:val="Overskrift 4 Tegn"/>
    <w:basedOn w:val="Standardskrifttypeiafsnit"/>
    <w:link w:val="Overskrift4"/>
    <w:uiPriority w:val="9"/>
    <w:rsid w:val="00C46F48"/>
    <w:rPr>
      <w:rFonts w:ascii="Verdana" w:eastAsiaTheme="majorEastAsia" w:hAnsi="Verdana" w:cstheme="majorBidi"/>
      <w:b/>
      <w:bCs/>
      <w:i/>
      <w:iCs/>
      <w:sz w:val="18"/>
    </w:rPr>
  </w:style>
  <w:style w:type="character" w:customStyle="1" w:styleId="Overskrift5Tegn">
    <w:name w:val="Overskrift 5 Tegn"/>
    <w:basedOn w:val="Standardskrifttypeiafsnit"/>
    <w:link w:val="Overskrift5"/>
    <w:uiPriority w:val="9"/>
    <w:semiHidden/>
    <w:rsid w:val="008D2B5E"/>
    <w:rPr>
      <w:rFonts w:asciiTheme="majorHAnsi" w:eastAsiaTheme="majorEastAsia" w:hAnsiTheme="majorHAnsi" w:cstheme="majorBidi"/>
      <w:sz w:val="18"/>
    </w:rPr>
  </w:style>
  <w:style w:type="character" w:customStyle="1" w:styleId="Overskrift6Tegn">
    <w:name w:val="Overskrift 6 Tegn"/>
    <w:basedOn w:val="Standardskrifttypeiafsnit"/>
    <w:link w:val="Overskrift6"/>
    <w:uiPriority w:val="9"/>
    <w:semiHidden/>
    <w:rsid w:val="008D2B5E"/>
    <w:rPr>
      <w:rFonts w:asciiTheme="majorHAnsi" w:eastAsiaTheme="majorEastAsia" w:hAnsiTheme="majorHAnsi" w:cstheme="majorBidi"/>
      <w:i/>
      <w:iCs/>
      <w:sz w:val="18"/>
    </w:rPr>
  </w:style>
  <w:style w:type="character" w:customStyle="1" w:styleId="Overskrift7Tegn">
    <w:name w:val="Overskrift 7 Tegn"/>
    <w:basedOn w:val="Standardskrifttypeiafsnit"/>
    <w:link w:val="Overskrift7"/>
    <w:uiPriority w:val="9"/>
    <w:semiHidden/>
    <w:rsid w:val="008D2B5E"/>
    <w:rPr>
      <w:rFonts w:asciiTheme="majorHAnsi" w:eastAsiaTheme="majorEastAsia" w:hAnsiTheme="majorHAnsi" w:cstheme="majorBidi"/>
      <w:i/>
      <w:iCs/>
      <w:sz w:val="18"/>
    </w:rPr>
  </w:style>
  <w:style w:type="character" w:customStyle="1" w:styleId="Overskrift8Tegn">
    <w:name w:val="Overskrift 8 Tegn"/>
    <w:basedOn w:val="Standardskrifttypeiafsnit"/>
    <w:link w:val="Overskrift8"/>
    <w:uiPriority w:val="9"/>
    <w:semiHidden/>
    <w:rsid w:val="008D2B5E"/>
    <w:rPr>
      <w:rFonts w:asciiTheme="majorHAnsi" w:eastAsiaTheme="majorEastAsia" w:hAnsiTheme="majorHAnsi" w:cstheme="majorBidi"/>
      <w:sz w:val="20"/>
      <w:szCs w:val="20"/>
    </w:rPr>
  </w:style>
  <w:style w:type="character" w:customStyle="1" w:styleId="Overskrift9Tegn">
    <w:name w:val="Overskrift 9 Tegn"/>
    <w:basedOn w:val="Standardskrifttypeiafsnit"/>
    <w:link w:val="Overskrift9"/>
    <w:uiPriority w:val="9"/>
    <w:semiHidden/>
    <w:rsid w:val="008D2B5E"/>
    <w:rPr>
      <w:rFonts w:asciiTheme="majorHAnsi" w:eastAsiaTheme="majorEastAsia" w:hAnsiTheme="majorHAnsi" w:cstheme="majorBidi"/>
      <w:i/>
      <w:iCs/>
      <w:sz w:val="20"/>
      <w:szCs w:val="20"/>
    </w:rPr>
  </w:style>
  <w:style w:type="paragraph" w:styleId="Ingenafstand">
    <w:name w:val="No Spacing"/>
    <w:uiPriority w:val="1"/>
    <w:qFormat/>
    <w:rsid w:val="00C46F48"/>
    <w:pPr>
      <w:spacing w:after="0" w:line="240" w:lineRule="auto"/>
    </w:pPr>
    <w:rPr>
      <w:rFonts w:ascii="Verdana" w:hAnsi="Verdana"/>
      <w:sz w:val="18"/>
    </w:rPr>
  </w:style>
  <w:style w:type="table" w:styleId="Tabel-Gitter">
    <w:name w:val="Table Grid"/>
    <w:basedOn w:val="Tabel-Normal"/>
    <w:uiPriority w:val="59"/>
    <w:rsid w:val="000A1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B22BC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2B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FBK Blå">
  <a:themeElements>
    <a:clrScheme name="Brugerdefineret 4">
      <a:dk1>
        <a:sysClr val="windowText" lastClr="000000"/>
      </a:dk1>
      <a:lt1>
        <a:sysClr val="window" lastClr="FFFFFF"/>
      </a:lt1>
      <a:dk2>
        <a:srgbClr val="00529A"/>
      </a:dk2>
      <a:lt2>
        <a:srgbClr val="E9E9EA"/>
      </a:lt2>
      <a:accent1>
        <a:srgbClr val="569FD3"/>
      </a:accent1>
      <a:accent2>
        <a:srgbClr val="EF3E42"/>
      </a:accent2>
      <a:accent3>
        <a:srgbClr val="8DC63F"/>
      </a:accent3>
      <a:accent4>
        <a:srgbClr val="B5BBD4"/>
      </a:accent4>
      <a:accent5>
        <a:srgbClr val="9AC2B9"/>
      </a:accent5>
      <a:accent6>
        <a:srgbClr val="FED100"/>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lIns="104269" tIns="52135" rIns="104269" bIns="52135" spcCol="0" rtlCol="0" anchor="ctr"/>
      <a:lstStyle>
        <a:defPPr algn="ctr">
          <a:defRPr sz="1800" dirty="0" err="1"/>
        </a:defPPr>
      </a:lstStyle>
      <a:style>
        <a:lnRef idx="2">
          <a:schemeClr val="accent2">
            <a:shade val="50000"/>
          </a:schemeClr>
        </a:lnRef>
        <a:fillRef idx="1">
          <a:schemeClr val="accent2"/>
        </a:fillRef>
        <a:effectRef idx="0">
          <a:schemeClr val="accent2"/>
        </a:effectRef>
        <a:fontRef idx="minor">
          <a:schemeClr val="lt1"/>
        </a:fontRef>
      </a:style>
    </a:spDef>
    <a:lnDef>
      <a:spPr>
        <a:ln w="28575">
          <a:solidFill>
            <a:schemeClr val="accent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924A5003</Template>
  <TotalTime>13</TotalTime>
  <Pages>1</Pages>
  <Words>188</Words>
  <Characters>1150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Fredensborg</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Steen Saarde</dc:creator>
  <cp:lastModifiedBy>Bo Steen Saarde</cp:lastModifiedBy>
  <cp:revision>4</cp:revision>
  <cp:lastPrinted>2018-09-05T07:02:00Z</cp:lastPrinted>
  <dcterms:created xsi:type="dcterms:W3CDTF">2021-01-04T08:33:00Z</dcterms:created>
  <dcterms:modified xsi:type="dcterms:W3CDTF">2021-01-14T10:08:00Z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{24C1FDF9-1F32-41EC-93AC-2C76850AB970}</vt:lpwstr>
  </property>
</Properties>
</file>